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EC65" w14:textId="049B15C8" w:rsidR="009217AE" w:rsidRDefault="00950FB6" w:rsidP="00950FB6">
      <w:pPr>
        <w:pStyle w:val="Textoindependiente"/>
        <w:spacing w:line="235" w:lineRule="auto"/>
        <w:ind w:left="0" w:right="103"/>
        <w:jc w:val="center"/>
        <w:rPr>
          <w:b/>
          <w:bCs/>
          <w:sz w:val="18"/>
        </w:rPr>
      </w:pPr>
      <w:r w:rsidRPr="00950FB6">
        <w:rPr>
          <w:b/>
          <w:bCs/>
          <w:sz w:val="18"/>
        </w:rPr>
        <w:t>INSTRUMENTO DE ADHERENCIA A LA GUÍA DE PRÁCTICA CLÍNICA (GPC) COMPLICACIONES DEL EMBARAZO, PARTO O PUERPERIO EN EL MANEJO CLÍNICO DE LA MUJER CON HEMORRAGIA POSPARTO</w:t>
      </w:r>
    </w:p>
    <w:p w14:paraId="18672B9E" w14:textId="77777777" w:rsidR="00950FB6" w:rsidRDefault="00950FB6" w:rsidP="00950FB6">
      <w:pPr>
        <w:pStyle w:val="Textoindependiente"/>
        <w:spacing w:line="235" w:lineRule="auto"/>
        <w:ind w:left="0" w:right="103"/>
        <w:jc w:val="center"/>
        <w:rPr>
          <w:b/>
          <w:bCs/>
          <w:sz w:val="18"/>
        </w:rPr>
      </w:pPr>
    </w:p>
    <w:p w14:paraId="7D0DD0F0" w14:textId="77777777" w:rsidR="009119A6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9119A6">
        <w:rPr>
          <w:rFonts w:ascii="Arial" w:hAnsi="Arial" w:cs="Arial"/>
          <w:b/>
          <w:bCs/>
        </w:rPr>
        <w:t>OBJETIVO</w:t>
      </w:r>
    </w:p>
    <w:p w14:paraId="0D523898" w14:textId="77777777" w:rsidR="00254B2E" w:rsidRPr="009119A6" w:rsidRDefault="00254B2E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</w:p>
    <w:p w14:paraId="16157629" w14:textId="77777777" w:rsidR="009119A6" w:rsidRPr="00254B2E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254B2E">
        <w:rPr>
          <w:rFonts w:ascii="Arial" w:hAnsi="Arial" w:cs="Arial"/>
        </w:rPr>
        <w:t>Establecer los lineamientos técnicos para el diligenciamiento del instrumento de adherencia a la Guía de Práctica Clínica (GPC) para la prevención, identificación, diagnóstico, manejo oportuno y seguimiento clínico de la hemorragia postparto, mediante la verificación sistemática del cumplimiento de las intervenciones clínicas registradas en la historia clínica.</w:t>
      </w:r>
    </w:p>
    <w:p w14:paraId="5062B6D2" w14:textId="77777777" w:rsidR="009119A6" w:rsidRPr="00254B2E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254B2E">
        <w:rPr>
          <w:rFonts w:ascii="Arial" w:hAnsi="Arial" w:cs="Arial"/>
        </w:rPr>
        <w:t>Este instructivo permite evaluar la calidad de la atención brindada a la mujer durante el manejo de la hemorragia postparto, identificar oportunidades de mejora en la atención obstétrica y fortalecer la adherencia a las recomendaciones basadas en evidencia, contribuyendo a la reducción de la morbilidad y mortalidad materna.</w:t>
      </w:r>
    </w:p>
    <w:p w14:paraId="760C6B68" w14:textId="478E546B" w:rsidR="009119A6" w:rsidRPr="009119A6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</w:p>
    <w:p w14:paraId="55815BCF" w14:textId="77777777" w:rsidR="009119A6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9119A6">
        <w:rPr>
          <w:rFonts w:ascii="Arial" w:hAnsi="Arial" w:cs="Arial"/>
          <w:b/>
          <w:bCs/>
        </w:rPr>
        <w:t>ALCANCE</w:t>
      </w:r>
    </w:p>
    <w:p w14:paraId="300F2B1F" w14:textId="77777777" w:rsidR="00254B2E" w:rsidRPr="009119A6" w:rsidRDefault="00254B2E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</w:p>
    <w:p w14:paraId="5EABE4BF" w14:textId="77777777" w:rsidR="009119A6" w:rsidRPr="009119A6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>El presente instructivo aplica para el diligenciamiento del instrumento de adherencia a la Guía de Práctica Clínica para el manejo clínico de la mujer con hemorragia postparto en instituciones prestadoras de servicios de salud que atienden eventos obstétricos.</w:t>
      </w:r>
    </w:p>
    <w:p w14:paraId="03735758" w14:textId="77777777" w:rsidR="009119A6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>Inicia con la revisión de la historia clínica desde el momento del parto y la identificación del evento hemorrágico, y finaliza con la verificación del seguimiento clínico, información brindada y condiciones de egreso hospitalario de la paciente.</w:t>
      </w:r>
    </w:p>
    <w:p w14:paraId="2D5D1935" w14:textId="77777777" w:rsidR="00254B2E" w:rsidRPr="009119A6" w:rsidRDefault="00254B2E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</w:rPr>
      </w:pPr>
    </w:p>
    <w:p w14:paraId="7AEA8A48" w14:textId="77777777" w:rsidR="009119A6" w:rsidRPr="00254B2E" w:rsidRDefault="009119A6" w:rsidP="00254B2E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254B2E">
        <w:rPr>
          <w:rFonts w:ascii="Arial" w:hAnsi="Arial" w:cs="Arial"/>
          <w:b/>
          <w:bCs/>
        </w:rPr>
        <w:t>Este instructivo aplica en los siguientes servicios:</w:t>
      </w:r>
    </w:p>
    <w:p w14:paraId="12C7D8A8" w14:textId="77777777" w:rsidR="009119A6" w:rsidRPr="009119A6" w:rsidRDefault="009119A6" w:rsidP="009119A6">
      <w:pPr>
        <w:pStyle w:val="Textoindependiente"/>
        <w:numPr>
          <w:ilvl w:val="0"/>
          <w:numId w:val="7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Sala de partos </w:t>
      </w:r>
    </w:p>
    <w:p w14:paraId="17CF591C" w14:textId="77777777" w:rsidR="009119A6" w:rsidRPr="009119A6" w:rsidRDefault="009119A6" w:rsidP="009119A6">
      <w:pPr>
        <w:pStyle w:val="Textoindependiente"/>
        <w:numPr>
          <w:ilvl w:val="0"/>
          <w:numId w:val="7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Servicio de hospitalización obstétrica </w:t>
      </w:r>
    </w:p>
    <w:p w14:paraId="089A43DE" w14:textId="77777777" w:rsidR="009119A6" w:rsidRPr="009119A6" w:rsidRDefault="009119A6" w:rsidP="009119A6">
      <w:pPr>
        <w:pStyle w:val="Textoindependiente"/>
        <w:numPr>
          <w:ilvl w:val="0"/>
          <w:numId w:val="7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Servicio de urgencias obstétricas </w:t>
      </w:r>
    </w:p>
    <w:p w14:paraId="212A5412" w14:textId="77777777" w:rsidR="009119A6" w:rsidRDefault="009119A6" w:rsidP="009119A6">
      <w:pPr>
        <w:pStyle w:val="Textoindependiente"/>
        <w:numPr>
          <w:ilvl w:val="0"/>
          <w:numId w:val="7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Unidades de cuidado obstétrico </w:t>
      </w:r>
    </w:p>
    <w:p w14:paraId="04F810CE" w14:textId="71086250" w:rsidR="00254B2E" w:rsidRPr="009119A6" w:rsidRDefault="00254B2E" w:rsidP="009119A6">
      <w:pPr>
        <w:pStyle w:val="Textoindependiente"/>
        <w:numPr>
          <w:ilvl w:val="0"/>
          <w:numId w:val="7"/>
        </w:numPr>
        <w:spacing w:line="235" w:lineRule="auto"/>
        <w:ind w:right="103"/>
        <w:jc w:val="both"/>
        <w:rPr>
          <w:rFonts w:ascii="Arial" w:hAnsi="Arial" w:cs="Arial"/>
        </w:rPr>
      </w:pPr>
      <w:r>
        <w:rPr>
          <w:rFonts w:ascii="Arial" w:hAnsi="Arial" w:cs="Arial"/>
        </w:rPr>
        <w:t>Unidades de  cuidad</w:t>
      </w:r>
      <w:r w:rsidRPr="009119A6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intensiv</w:t>
      </w:r>
      <w:r w:rsidRPr="009119A6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</w:p>
    <w:p w14:paraId="6FE807C2" w14:textId="77777777" w:rsidR="009119A6" w:rsidRPr="009119A6" w:rsidRDefault="009119A6" w:rsidP="009119A6">
      <w:pPr>
        <w:pStyle w:val="Textoindependiente"/>
        <w:numPr>
          <w:ilvl w:val="0"/>
          <w:numId w:val="7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Servicios de apoyo diagnóstico y terapéutico </w:t>
      </w:r>
    </w:p>
    <w:p w14:paraId="337E99C9" w14:textId="77777777" w:rsidR="009119A6" w:rsidRDefault="009119A6" w:rsidP="009119A6">
      <w:pPr>
        <w:pStyle w:val="Textoindependiente"/>
        <w:numPr>
          <w:ilvl w:val="0"/>
          <w:numId w:val="7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Referencia y contrarreferencia obstétrica </w:t>
      </w:r>
    </w:p>
    <w:p w14:paraId="5E3C1B68" w14:textId="77777777" w:rsidR="001F3850" w:rsidRPr="009119A6" w:rsidRDefault="001F3850" w:rsidP="001F3850">
      <w:pPr>
        <w:pStyle w:val="Textoindependiente"/>
        <w:spacing w:line="235" w:lineRule="auto"/>
        <w:ind w:left="720" w:right="103"/>
        <w:jc w:val="both"/>
        <w:rPr>
          <w:rFonts w:ascii="Arial" w:hAnsi="Arial" w:cs="Arial"/>
        </w:rPr>
      </w:pPr>
    </w:p>
    <w:p w14:paraId="1ADE74AF" w14:textId="77777777" w:rsidR="009119A6" w:rsidRPr="001F3850" w:rsidRDefault="009119A6" w:rsidP="001F3850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1F3850">
        <w:rPr>
          <w:rFonts w:ascii="Arial" w:hAnsi="Arial" w:cs="Arial"/>
          <w:b/>
          <w:bCs/>
        </w:rPr>
        <w:t>Incluye la verificación de los siguientes componentes:</w:t>
      </w:r>
    </w:p>
    <w:p w14:paraId="632F2E0C" w14:textId="77777777" w:rsidR="009119A6" w:rsidRPr="009119A6" w:rsidRDefault="009119A6" w:rsidP="009119A6">
      <w:pPr>
        <w:pStyle w:val="Textoindependiente"/>
        <w:numPr>
          <w:ilvl w:val="0"/>
          <w:numId w:val="8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Actividades de prevención de hemorragia postparto </w:t>
      </w:r>
    </w:p>
    <w:p w14:paraId="24065F59" w14:textId="77777777" w:rsidR="009119A6" w:rsidRPr="009119A6" w:rsidRDefault="009119A6" w:rsidP="009119A6">
      <w:pPr>
        <w:pStyle w:val="Textoindependiente"/>
        <w:numPr>
          <w:ilvl w:val="0"/>
          <w:numId w:val="8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Identificación temprana del evento hemorrágico </w:t>
      </w:r>
    </w:p>
    <w:p w14:paraId="23849CC5" w14:textId="77777777" w:rsidR="009119A6" w:rsidRPr="009119A6" w:rsidRDefault="009119A6" w:rsidP="009119A6">
      <w:pPr>
        <w:pStyle w:val="Textoindependiente"/>
        <w:numPr>
          <w:ilvl w:val="0"/>
          <w:numId w:val="8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Diagnóstico clínico y paraclínico </w:t>
      </w:r>
    </w:p>
    <w:p w14:paraId="317EF753" w14:textId="77777777" w:rsidR="009119A6" w:rsidRPr="009119A6" w:rsidRDefault="009119A6" w:rsidP="009119A6">
      <w:pPr>
        <w:pStyle w:val="Textoindependiente"/>
        <w:numPr>
          <w:ilvl w:val="0"/>
          <w:numId w:val="8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Oportunidad y pertinencia del tratamiento </w:t>
      </w:r>
    </w:p>
    <w:p w14:paraId="6EE3091C" w14:textId="77777777" w:rsidR="009119A6" w:rsidRPr="009119A6" w:rsidRDefault="009119A6" w:rsidP="009119A6">
      <w:pPr>
        <w:pStyle w:val="Textoindependiente"/>
        <w:numPr>
          <w:ilvl w:val="0"/>
          <w:numId w:val="8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Seguimiento posterior al evento hemorrágico </w:t>
      </w:r>
    </w:p>
    <w:p w14:paraId="16E16ED6" w14:textId="77777777" w:rsidR="009119A6" w:rsidRPr="009119A6" w:rsidRDefault="009119A6" w:rsidP="009119A6">
      <w:pPr>
        <w:pStyle w:val="Textoindependiente"/>
        <w:numPr>
          <w:ilvl w:val="0"/>
          <w:numId w:val="8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Información brindada a la paciente y familia </w:t>
      </w:r>
    </w:p>
    <w:p w14:paraId="6165BE5D" w14:textId="77777777" w:rsidR="009119A6" w:rsidRPr="009119A6" w:rsidRDefault="009119A6" w:rsidP="009119A6">
      <w:pPr>
        <w:pStyle w:val="Textoindependiente"/>
        <w:numPr>
          <w:ilvl w:val="0"/>
          <w:numId w:val="8"/>
        </w:numPr>
        <w:spacing w:line="235" w:lineRule="auto"/>
        <w:ind w:right="103"/>
        <w:jc w:val="both"/>
        <w:rPr>
          <w:rFonts w:ascii="Arial" w:hAnsi="Arial" w:cs="Arial"/>
        </w:rPr>
      </w:pPr>
      <w:r w:rsidRPr="009119A6">
        <w:rPr>
          <w:rFonts w:ascii="Arial" w:hAnsi="Arial" w:cs="Arial"/>
        </w:rPr>
        <w:t xml:space="preserve">Condiciones de egreso hospitalario </w:t>
      </w:r>
    </w:p>
    <w:p w14:paraId="0BD3C828" w14:textId="77777777" w:rsidR="001011D8" w:rsidRDefault="001011D8" w:rsidP="001011D8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</w:p>
    <w:p w14:paraId="1A9F117E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1. ACTIVIDADES DE PREVENCIÓN</w:t>
      </w:r>
    </w:p>
    <w:p w14:paraId="636EC70B" w14:textId="07D0DA9F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BD6DAA6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lastRenderedPageBreak/>
        <w:t>• Se realiza manejo activo del alumbramiento</w:t>
      </w:r>
    </w:p>
    <w:p w14:paraId="6C8ECA20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CUMPLE:</w:t>
      </w:r>
      <w:r w:rsidRPr="00A25969">
        <w:rPr>
          <w:rFonts w:ascii="Arial" w:hAnsi="Arial" w:cs="Arial"/>
          <w:lang w:val="es-CO"/>
        </w:rPr>
        <w:br/>
        <w:t>Cuando la institución evidencia registro del manejo activo del alumbramiento, incluyendo administración de uterotónico posterior al nacimiento, tracción controlada del cordón y masaje uterino.</w:t>
      </w:r>
    </w:p>
    <w:p w14:paraId="3CED13D4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CUMPLE:</w:t>
      </w:r>
      <w:r w:rsidRPr="00A25969">
        <w:rPr>
          <w:rFonts w:ascii="Arial" w:hAnsi="Arial" w:cs="Arial"/>
          <w:lang w:val="es-CO"/>
        </w:rPr>
        <w:br/>
        <w:t>Cuando la institución NO evidencia registro del manejo activo del alumbramiento en la historia clínica.</w:t>
      </w:r>
    </w:p>
    <w:p w14:paraId="6E1E7C90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APLICA:</w:t>
      </w:r>
      <w:r w:rsidRPr="00A25969">
        <w:rPr>
          <w:rFonts w:ascii="Arial" w:hAnsi="Arial" w:cs="Arial"/>
          <w:lang w:val="es-CO"/>
        </w:rPr>
        <w:br/>
        <w:t>No aplica no es válido.</w:t>
      </w:r>
    </w:p>
    <w:p w14:paraId="229D8445" w14:textId="725FBB2F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FE80A89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registra en la historia clínica la nota médica en las 2 horas post evento obstétrico</w:t>
      </w:r>
    </w:p>
    <w:p w14:paraId="53E8D77A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CUMPLE:</w:t>
      </w:r>
      <w:r w:rsidRPr="00A25969">
        <w:rPr>
          <w:rFonts w:ascii="Arial" w:hAnsi="Arial" w:cs="Arial"/>
          <w:lang w:val="es-CO"/>
        </w:rPr>
        <w:br/>
        <w:t>Cuando la institución evidencia registro de la nota médica dentro de las primeras dos horas posteriores al evento obstétrico.</w:t>
      </w:r>
    </w:p>
    <w:p w14:paraId="269F3585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CUMPLE:</w:t>
      </w:r>
      <w:r w:rsidRPr="00A25969">
        <w:rPr>
          <w:rFonts w:ascii="Arial" w:hAnsi="Arial" w:cs="Arial"/>
          <w:lang w:val="es-CO"/>
        </w:rPr>
        <w:br/>
        <w:t>Cuando la institución NO evidencia registro de la nota médica dentro del tiempo establecido.</w:t>
      </w:r>
    </w:p>
    <w:p w14:paraId="44D4ECC2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APLICA:</w:t>
      </w:r>
      <w:r w:rsidRPr="00A25969">
        <w:rPr>
          <w:rFonts w:ascii="Arial" w:hAnsi="Arial" w:cs="Arial"/>
          <w:lang w:val="es-CO"/>
        </w:rPr>
        <w:br/>
        <w:t>No aplica no es válido.</w:t>
      </w:r>
    </w:p>
    <w:p w14:paraId="378BA638" w14:textId="5D9CE778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37480B9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Evalúa e interpreta en conjunto (Medicina y enfermería) los signos vitales cada 15 minutos en las dos primeras horas post evento obstétrico</w:t>
      </w:r>
    </w:p>
    <w:p w14:paraId="277AEC89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(Incluye estado de conciencia, signos vitales, involución uterina y características del sangrado genital)</w:t>
      </w:r>
    </w:p>
    <w:p w14:paraId="31D10782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CUMPLE:</w:t>
      </w:r>
      <w:r w:rsidRPr="00A25969">
        <w:rPr>
          <w:rFonts w:ascii="Arial" w:hAnsi="Arial" w:cs="Arial"/>
          <w:lang w:val="es-CO"/>
        </w:rPr>
        <w:br/>
        <w:t>Cuando la institución evidencia registro conjunto de medicina y enfermería de signos vitales cada 15 minutos durante las primeras dos horas, incluyendo evaluación del estado de conciencia, involución uterina y características del sangrado genital.</w:t>
      </w:r>
    </w:p>
    <w:p w14:paraId="3B19C17F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CUMPLE:</w:t>
      </w:r>
      <w:r w:rsidRPr="00A25969">
        <w:rPr>
          <w:rFonts w:ascii="Arial" w:hAnsi="Arial" w:cs="Arial"/>
          <w:lang w:val="es-CO"/>
        </w:rPr>
        <w:br/>
        <w:t>Cuando la institución NO evidencia registro completo de las variables o no cumple con la periodicidad establecida.</w:t>
      </w:r>
    </w:p>
    <w:p w14:paraId="6620F29C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APLICA:</w:t>
      </w:r>
      <w:r w:rsidRPr="00A25969">
        <w:rPr>
          <w:rFonts w:ascii="Arial" w:hAnsi="Arial" w:cs="Arial"/>
          <w:lang w:val="es-CO"/>
        </w:rPr>
        <w:br/>
        <w:t>No aplica no es válido.</w:t>
      </w:r>
    </w:p>
    <w:p w14:paraId="190843D5" w14:textId="6768C7EC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D1F1133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2. IDENTIFICACIÓN DE HEMORRAGIA POSTPARTO</w:t>
      </w:r>
    </w:p>
    <w:p w14:paraId="5BE3D506" w14:textId="39CAA710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4E703EFD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toma de tensión arterial</w:t>
      </w:r>
    </w:p>
    <w:p w14:paraId="432D5AC2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CUMPLE:</w:t>
      </w:r>
      <w:r w:rsidRPr="00A25969">
        <w:rPr>
          <w:rFonts w:ascii="Arial" w:hAnsi="Arial" w:cs="Arial"/>
          <w:lang w:val="es-CO"/>
        </w:rPr>
        <w:br/>
        <w:t>Cuando la institución evidencia registro de toma de tensión arterial durante la atención del evento hemorrágico.</w:t>
      </w:r>
    </w:p>
    <w:p w14:paraId="3DFF9F11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CUMPLE:</w:t>
      </w:r>
      <w:r w:rsidRPr="00A25969">
        <w:rPr>
          <w:rFonts w:ascii="Arial" w:hAnsi="Arial" w:cs="Arial"/>
          <w:lang w:val="es-CO"/>
        </w:rPr>
        <w:br/>
        <w:t>Cuando la institución NO evidencia registro de tensión arterial.</w:t>
      </w:r>
    </w:p>
    <w:p w14:paraId="128619CF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APLICA:</w:t>
      </w:r>
      <w:r w:rsidRPr="00A25969">
        <w:rPr>
          <w:rFonts w:ascii="Arial" w:hAnsi="Arial" w:cs="Arial"/>
          <w:lang w:val="es-CO"/>
        </w:rPr>
        <w:br/>
        <w:t>No aplica no es válido.</w:t>
      </w:r>
    </w:p>
    <w:p w14:paraId="3D98CA61" w14:textId="2E77F418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998BD36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lastRenderedPageBreak/>
        <w:t>• Registra toma de saturación o perfusión</w:t>
      </w:r>
    </w:p>
    <w:p w14:paraId="639F8F84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CUMPLE:</w:t>
      </w:r>
      <w:r w:rsidRPr="00A25969">
        <w:rPr>
          <w:rFonts w:ascii="Arial" w:hAnsi="Arial" w:cs="Arial"/>
          <w:lang w:val="es-CO"/>
        </w:rPr>
        <w:br/>
        <w:t>Cuando la institución evidencia registro de saturación de oxígeno o perfusión periférica.</w:t>
      </w:r>
    </w:p>
    <w:p w14:paraId="7B519F0E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CUMPLE:</w:t>
      </w:r>
      <w:r w:rsidRPr="00A25969">
        <w:rPr>
          <w:rFonts w:ascii="Arial" w:hAnsi="Arial" w:cs="Arial"/>
          <w:lang w:val="es-CO"/>
        </w:rPr>
        <w:br/>
        <w:t>Cuando la institución NO evidencia registro de saturación o perfusión.</w:t>
      </w:r>
    </w:p>
    <w:p w14:paraId="054FCFB4" w14:textId="77777777" w:rsidR="007A0236" w:rsidRPr="00A25969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A25969">
        <w:rPr>
          <w:rFonts w:ascii="Arial" w:hAnsi="Arial" w:cs="Arial"/>
          <w:lang w:val="es-CO"/>
        </w:rPr>
        <w:t>NO APLICA:</w:t>
      </w:r>
      <w:r w:rsidRPr="00A25969">
        <w:rPr>
          <w:rFonts w:ascii="Arial" w:hAnsi="Arial" w:cs="Arial"/>
          <w:lang w:val="es-CO"/>
        </w:rPr>
        <w:br/>
        <w:t>No aplica no es válido.</w:t>
      </w:r>
    </w:p>
    <w:p w14:paraId="61DFEA5B" w14:textId="56581E6C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62E8736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toma de frecuencia cardiaca</w:t>
      </w:r>
    </w:p>
    <w:p w14:paraId="220620E0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registro de frecuencia cardiaca durante la atención.</w:t>
      </w:r>
    </w:p>
    <w:p w14:paraId="6027E752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registro de frecuencia cardiaca.</w:t>
      </w:r>
    </w:p>
    <w:p w14:paraId="75E22C99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00D5D46F" w14:textId="51534F9D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6435AB3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evaluación del sensorio</w:t>
      </w:r>
    </w:p>
    <w:p w14:paraId="00FB5D99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registro del estado de conciencia o sensorio.</w:t>
      </w:r>
    </w:p>
    <w:p w14:paraId="46426A05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registro del estado de conciencia.</w:t>
      </w:r>
    </w:p>
    <w:p w14:paraId="7CEA232F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3D54BC35" w14:textId="04221A79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76C51A16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evaluación del tono uterino</w:t>
      </w:r>
    </w:p>
    <w:p w14:paraId="0286C039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registro de evaluación del tono uterino.</w:t>
      </w:r>
    </w:p>
    <w:p w14:paraId="0688F27F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registro del tono uterino.</w:t>
      </w:r>
    </w:p>
    <w:p w14:paraId="4ECBB6EC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783562D3" w14:textId="2B5E3EAB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31D272C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evaluación del sangrado</w:t>
      </w:r>
    </w:p>
    <w:p w14:paraId="007499D5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registro de evaluación del sangrado genital.</w:t>
      </w:r>
    </w:p>
    <w:p w14:paraId="143E2180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registro del sangrado.</w:t>
      </w:r>
    </w:p>
    <w:p w14:paraId="2E97E9EB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14F5A71D" w14:textId="5996EE20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F18D159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medición objetiva del volumen del sangrado</w:t>
      </w:r>
    </w:p>
    <w:p w14:paraId="6624224D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registro de medición objetiva del volumen del sangrado mediante métodos validados (bolsa colectora, pesaje o estimación cuantificada).</w:t>
      </w:r>
    </w:p>
    <w:p w14:paraId="1344D9CD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</w:r>
      <w:r w:rsidRPr="009A4285">
        <w:rPr>
          <w:rFonts w:ascii="Arial" w:hAnsi="Arial" w:cs="Arial"/>
          <w:lang w:val="es-CO"/>
        </w:rPr>
        <w:lastRenderedPageBreak/>
        <w:t>Cuando la institución NO evidencia medición objetiva del volumen del sangrado.</w:t>
      </w:r>
    </w:p>
    <w:p w14:paraId="536445F8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48DD1349" w14:textId="0E3A30D2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439A957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3. DIAGNÓSTICO</w:t>
      </w:r>
    </w:p>
    <w:p w14:paraId="132255EF" w14:textId="696FB10B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74777CF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activa código rojo ante evidencia de choque hipovolémico</w:t>
      </w:r>
    </w:p>
    <w:p w14:paraId="7BCC0CB3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activación de código rojo obstétrico ante signos clínicos de choque hipovolémico o puntaje ≥3 en un ítem de la escala de alerta temprana obstétrica o sumatoria ≥6.</w:t>
      </w:r>
    </w:p>
    <w:p w14:paraId="5E101A53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activación del código rojo ante signos clínicos indicativos.</w:t>
      </w:r>
    </w:p>
    <w:p w14:paraId="2ACEC030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58AFC9B4" w14:textId="7CE7DB25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AD9D72E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registra índice de choque</w:t>
      </w:r>
    </w:p>
    <w:p w14:paraId="4220E2EB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registro del índice de choque (frecuencia cardiaca / presión arterial sistólica).</w:t>
      </w:r>
    </w:p>
    <w:p w14:paraId="02AE17BC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cálculo del índice de choque.</w:t>
      </w:r>
    </w:p>
    <w:p w14:paraId="6BD129E9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5241CCB4" w14:textId="65CF06B6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4156E5F0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clasifica el grado de choque</w:t>
      </w:r>
    </w:p>
    <w:p w14:paraId="3DC00C24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clasificación del grado de choque utilizando el cuadro diagnóstico institucional o índice de choque.</w:t>
      </w:r>
    </w:p>
    <w:p w14:paraId="0B9EA6C2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clasificación del grado de choque.</w:t>
      </w:r>
    </w:p>
    <w:p w14:paraId="6070269C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No aplica no es válido.</w:t>
      </w:r>
    </w:p>
    <w:p w14:paraId="4986091C" w14:textId="5241601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6185A3A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Cuadro hemático</w:t>
      </w:r>
    </w:p>
    <w:p w14:paraId="5F4A41DA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solicitud y resultado registrado del cuadro hemático.</w:t>
      </w:r>
    </w:p>
    <w:p w14:paraId="3ECD3FC8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solicitud o resultado registrado.</w:t>
      </w:r>
    </w:p>
    <w:p w14:paraId="6314B199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Cuando no se encuentra indicado clínicamente.</w:t>
      </w:r>
    </w:p>
    <w:p w14:paraId="2BEE2189" w14:textId="31102261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9894E46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Tiempos de coagulación (PT / PTT)</w:t>
      </w:r>
    </w:p>
    <w:p w14:paraId="538CB489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solicitud y resultado registrado de tiempos de coagulación.</w:t>
      </w:r>
    </w:p>
    <w:p w14:paraId="57F6D531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</w:r>
      <w:r w:rsidRPr="009A4285">
        <w:rPr>
          <w:rFonts w:ascii="Arial" w:hAnsi="Arial" w:cs="Arial"/>
          <w:lang w:val="es-CO"/>
        </w:rPr>
        <w:lastRenderedPageBreak/>
        <w:t>Cuando la institución NO evidencia resultado registrado.</w:t>
      </w:r>
    </w:p>
    <w:p w14:paraId="335DA872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Cuando no está indicado clínicamente.</w:t>
      </w:r>
    </w:p>
    <w:p w14:paraId="2B13E99E" w14:textId="5303BCC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5F621D3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Fibrinógeno</w:t>
      </w:r>
    </w:p>
    <w:p w14:paraId="3E7C63CF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CUMPLE:</w:t>
      </w:r>
      <w:r w:rsidRPr="007A0236">
        <w:rPr>
          <w:rFonts w:ascii="Arial" w:hAnsi="Arial" w:cs="Arial"/>
          <w:b/>
          <w:bCs/>
          <w:lang w:val="es-CO"/>
        </w:rPr>
        <w:br/>
        <w:t>Cuando la institución evidencia solicitud y resultado registrado de fibrinógeno.</w:t>
      </w:r>
    </w:p>
    <w:p w14:paraId="450DD2F7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NO CUMPLE:</w:t>
      </w:r>
      <w:r w:rsidRPr="007A0236">
        <w:rPr>
          <w:rFonts w:ascii="Arial" w:hAnsi="Arial" w:cs="Arial"/>
          <w:b/>
          <w:bCs/>
          <w:lang w:val="es-CO"/>
        </w:rPr>
        <w:br/>
        <w:t>Cuando la institución NO evidencia resultado registrado.</w:t>
      </w:r>
    </w:p>
    <w:p w14:paraId="3E63349C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NO APLICA:</w:t>
      </w:r>
      <w:r w:rsidRPr="007A0236">
        <w:rPr>
          <w:rFonts w:ascii="Arial" w:hAnsi="Arial" w:cs="Arial"/>
          <w:b/>
          <w:bCs/>
          <w:lang w:val="es-CO"/>
        </w:rPr>
        <w:br/>
        <w:t>Cuando no está indicado clínicamente.</w:t>
      </w:r>
    </w:p>
    <w:p w14:paraId="7EE60734" w14:textId="516DFA74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13BFEC75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4. OPORTUNIDAD Y PERTINENCIA</w:t>
      </w:r>
    </w:p>
    <w:p w14:paraId="44DF0817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i/>
          <w:iCs/>
          <w:lang w:val="es-CO"/>
        </w:rPr>
        <w:t>(Se documenta en la historia clínica evaluada inicio de tratamiento médico adecuado y oportuno a la paciente)</w:t>
      </w:r>
    </w:p>
    <w:p w14:paraId="3B462E0D" w14:textId="4F3C825C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E617E72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verifica la administración de líquidos endovenosos calientes y según respuesta hemodinámica</w:t>
      </w:r>
    </w:p>
    <w:p w14:paraId="4D3C8719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CUMPLE:</w:t>
      </w:r>
      <w:r w:rsidRPr="009A4285">
        <w:rPr>
          <w:rFonts w:ascii="Arial" w:hAnsi="Arial" w:cs="Arial"/>
          <w:lang w:val="es-CO"/>
        </w:rPr>
        <w:br/>
        <w:t>Cuando la institución evidencia registro de administración de líquidos endovenosos calentados, ajustados según respuesta hemodinámica.</w:t>
      </w:r>
    </w:p>
    <w:p w14:paraId="26179FF4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CUMPLE:</w:t>
      </w:r>
      <w:r w:rsidRPr="009A4285">
        <w:rPr>
          <w:rFonts w:ascii="Arial" w:hAnsi="Arial" w:cs="Arial"/>
          <w:lang w:val="es-CO"/>
        </w:rPr>
        <w:br/>
        <w:t>Cuando la institución NO evidencia registro de administración de líquidos o no se ajustan según respuesta clínica.</w:t>
      </w:r>
    </w:p>
    <w:p w14:paraId="73600D42" w14:textId="77777777" w:rsidR="007A0236" w:rsidRPr="009A4285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9A4285">
        <w:rPr>
          <w:rFonts w:ascii="Arial" w:hAnsi="Arial" w:cs="Arial"/>
          <w:lang w:val="es-CO"/>
        </w:rPr>
        <w:t>NO APLICA:</w:t>
      </w:r>
      <w:r w:rsidRPr="009A4285">
        <w:rPr>
          <w:rFonts w:ascii="Arial" w:hAnsi="Arial" w:cs="Arial"/>
          <w:lang w:val="es-CO"/>
        </w:rPr>
        <w:br/>
        <w:t>Cuando no se evidencia compromiso hemodinámico que requiera líquidos endovenosos.</w:t>
      </w:r>
    </w:p>
    <w:p w14:paraId="46E990F7" w14:textId="5F61F456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96B3477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 xml:space="preserve">• Indica </w:t>
      </w:r>
      <w:proofErr w:type="spellStart"/>
      <w:r w:rsidRPr="007A0236">
        <w:rPr>
          <w:rFonts w:ascii="Arial" w:hAnsi="Arial" w:cs="Arial"/>
          <w:b/>
          <w:bCs/>
          <w:lang w:val="es-CO"/>
        </w:rPr>
        <w:t>FiO</w:t>
      </w:r>
      <w:proofErr w:type="spellEnd"/>
      <w:r w:rsidRPr="007A0236">
        <w:rPr>
          <w:rFonts w:ascii="Cambria Math" w:hAnsi="Cambria Math" w:cs="Cambria Math"/>
          <w:b/>
          <w:bCs/>
          <w:lang w:val="es-CO"/>
        </w:rPr>
        <w:t>₂</w:t>
      </w:r>
      <w:r w:rsidRPr="007A0236">
        <w:rPr>
          <w:rFonts w:ascii="Arial" w:hAnsi="Arial" w:cs="Arial"/>
          <w:b/>
          <w:bCs/>
          <w:lang w:val="es-CO"/>
        </w:rPr>
        <w:t xml:space="preserve"> necesaria para garantizar saturación de oxígeno meta (&gt;95%)</w:t>
      </w:r>
    </w:p>
    <w:p w14:paraId="70C87FCF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CUMPLE:</w:t>
      </w:r>
      <w:r w:rsidRPr="00E454A8">
        <w:rPr>
          <w:rFonts w:ascii="Arial" w:hAnsi="Arial" w:cs="Arial"/>
          <w:lang w:val="es-CO"/>
        </w:rPr>
        <w:br/>
        <w:t xml:space="preserve">Cuando la institución evidencia administración de oxígeno con registro de </w:t>
      </w:r>
      <w:proofErr w:type="spellStart"/>
      <w:r w:rsidRPr="00E454A8">
        <w:rPr>
          <w:rFonts w:ascii="Arial" w:hAnsi="Arial" w:cs="Arial"/>
          <w:lang w:val="es-CO"/>
        </w:rPr>
        <w:t>FiO</w:t>
      </w:r>
      <w:proofErr w:type="spellEnd"/>
      <w:r w:rsidRPr="00E454A8">
        <w:rPr>
          <w:rFonts w:ascii="Cambria Math" w:hAnsi="Cambria Math" w:cs="Cambria Math"/>
          <w:lang w:val="es-CO"/>
        </w:rPr>
        <w:t>₂</w:t>
      </w:r>
      <w:r w:rsidRPr="00E454A8">
        <w:rPr>
          <w:rFonts w:ascii="Arial" w:hAnsi="Arial" w:cs="Arial"/>
          <w:lang w:val="es-CO"/>
        </w:rPr>
        <w:t xml:space="preserve"> necesaria para mantener saturación mayor al 95%.</w:t>
      </w:r>
    </w:p>
    <w:p w14:paraId="56DC2C72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CUMPLE:</w:t>
      </w:r>
      <w:r w:rsidRPr="00E454A8">
        <w:rPr>
          <w:rFonts w:ascii="Arial" w:hAnsi="Arial" w:cs="Arial"/>
          <w:lang w:val="es-CO"/>
        </w:rPr>
        <w:br/>
        <w:t>Cuando la institución NO evidencia administración de oxígeno estando indicada.</w:t>
      </w:r>
    </w:p>
    <w:p w14:paraId="57A2022E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APLICA:</w:t>
      </w:r>
      <w:r w:rsidRPr="00E454A8">
        <w:rPr>
          <w:rFonts w:ascii="Arial" w:hAnsi="Arial" w:cs="Arial"/>
          <w:lang w:val="es-CO"/>
        </w:rPr>
        <w:br/>
        <w:t>Cuando la paciente mantiene saturación adecuada sin requerimiento de oxígeno.</w:t>
      </w:r>
    </w:p>
    <w:p w14:paraId="7D3A86B5" w14:textId="4BE77D2E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494ED274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Canaliza dos accesos venosos periféricos</w:t>
      </w:r>
    </w:p>
    <w:p w14:paraId="6FEC79FD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CUMPLE:</w:t>
      </w:r>
      <w:r w:rsidRPr="00E454A8">
        <w:rPr>
          <w:rFonts w:ascii="Arial" w:hAnsi="Arial" w:cs="Arial"/>
          <w:lang w:val="es-CO"/>
        </w:rPr>
        <w:br/>
        <w:t>Cuando la institución evidencia registro de canalización de dos accesos venosos periféricos funcionales.</w:t>
      </w:r>
    </w:p>
    <w:p w14:paraId="5E10D48C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CUMPLE:</w:t>
      </w:r>
      <w:r w:rsidRPr="00E454A8">
        <w:rPr>
          <w:rFonts w:ascii="Arial" w:hAnsi="Arial" w:cs="Arial"/>
          <w:lang w:val="es-CO"/>
        </w:rPr>
        <w:br/>
        <w:t>Cuando la institución NO evidencia canalización de dos accesos venosos.</w:t>
      </w:r>
    </w:p>
    <w:p w14:paraId="46B6DF97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APLICA:</w:t>
      </w:r>
      <w:r w:rsidRPr="00E454A8">
        <w:rPr>
          <w:rFonts w:ascii="Arial" w:hAnsi="Arial" w:cs="Arial"/>
          <w:lang w:val="es-CO"/>
        </w:rPr>
        <w:br/>
        <w:t>Cuando la paciente no presenta hemorragia activa.</w:t>
      </w:r>
    </w:p>
    <w:p w14:paraId="70AC90CC" w14:textId="0ABA23CF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73BE65C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lastRenderedPageBreak/>
        <w:t>• Ordena y administra Oxitocina</w:t>
      </w:r>
    </w:p>
    <w:p w14:paraId="400121D3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CUMPLE:</w:t>
      </w:r>
      <w:r w:rsidRPr="00E454A8">
        <w:rPr>
          <w:rFonts w:ascii="Arial" w:hAnsi="Arial" w:cs="Arial"/>
          <w:lang w:val="es-CO"/>
        </w:rPr>
        <w:br/>
        <w:t>Cuando la institución evidencia registro de orden y administración de oxitocina.</w:t>
      </w:r>
    </w:p>
    <w:p w14:paraId="067B83A8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CUMPLE:</w:t>
      </w:r>
      <w:r w:rsidRPr="00E454A8">
        <w:rPr>
          <w:rFonts w:ascii="Arial" w:hAnsi="Arial" w:cs="Arial"/>
          <w:lang w:val="es-CO"/>
        </w:rPr>
        <w:br/>
        <w:t>Cuando la institución NO evidencia administración estando indicada.</w:t>
      </w:r>
    </w:p>
    <w:p w14:paraId="4B767C01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APLICA:</w:t>
      </w:r>
      <w:r w:rsidRPr="00E454A8">
        <w:rPr>
          <w:rFonts w:ascii="Arial" w:hAnsi="Arial" w:cs="Arial"/>
          <w:lang w:val="es-CO"/>
        </w:rPr>
        <w:br/>
        <w:t>Cuando la hemorragia no es secundaria a atonía uterina.</w:t>
      </w:r>
    </w:p>
    <w:p w14:paraId="1B800024" w14:textId="21FC645D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18922D63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Ordena y administra Misoprostol</w:t>
      </w:r>
    </w:p>
    <w:p w14:paraId="3AE3ED4E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CUMPLE:</w:t>
      </w:r>
      <w:r w:rsidRPr="00E454A8">
        <w:rPr>
          <w:rFonts w:ascii="Arial" w:hAnsi="Arial" w:cs="Arial"/>
          <w:lang w:val="es-CO"/>
        </w:rPr>
        <w:br/>
        <w:t>Cuando la institución evidencia registro de administración de misoprostol.</w:t>
      </w:r>
    </w:p>
    <w:p w14:paraId="5513A7F8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CUMPLE:</w:t>
      </w:r>
      <w:r w:rsidRPr="00E454A8">
        <w:rPr>
          <w:rFonts w:ascii="Arial" w:hAnsi="Arial" w:cs="Arial"/>
          <w:lang w:val="es-CO"/>
        </w:rPr>
        <w:br/>
        <w:t>Cuando la institución NO evidencia administración estando indicada.</w:t>
      </w:r>
    </w:p>
    <w:p w14:paraId="6E1FBEBD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APLICA:</w:t>
      </w:r>
      <w:r w:rsidRPr="00E454A8">
        <w:rPr>
          <w:rFonts w:ascii="Arial" w:hAnsi="Arial" w:cs="Arial"/>
          <w:lang w:val="es-CO"/>
        </w:rPr>
        <w:br/>
        <w:t>Cuando no está indicado clínicamente.</w:t>
      </w:r>
    </w:p>
    <w:p w14:paraId="52E55D35" w14:textId="6AA3050C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4435A088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Ordena y administra ácido tranexámico</w:t>
      </w:r>
    </w:p>
    <w:p w14:paraId="585C58EC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CUMPLE:</w:t>
      </w:r>
      <w:r w:rsidRPr="00E454A8">
        <w:rPr>
          <w:rFonts w:ascii="Arial" w:hAnsi="Arial" w:cs="Arial"/>
          <w:lang w:val="es-CO"/>
        </w:rPr>
        <w:br/>
        <w:t>Cuando la institución evidencia administración de ácido tranexámico dentro de las primeras horas del evento hemorrágico.</w:t>
      </w:r>
    </w:p>
    <w:p w14:paraId="69CC3591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CUMPLE:</w:t>
      </w:r>
      <w:r w:rsidRPr="00E454A8">
        <w:rPr>
          <w:rFonts w:ascii="Arial" w:hAnsi="Arial" w:cs="Arial"/>
          <w:lang w:val="es-CO"/>
        </w:rPr>
        <w:br/>
        <w:t>Cuando la institución NO evidencia administración estando indicada.</w:t>
      </w:r>
    </w:p>
    <w:p w14:paraId="5A2FE1BA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APLICA:</w:t>
      </w:r>
      <w:r w:rsidRPr="00E454A8">
        <w:rPr>
          <w:rFonts w:ascii="Arial" w:hAnsi="Arial" w:cs="Arial"/>
          <w:lang w:val="es-CO"/>
        </w:rPr>
        <w:br/>
        <w:t>Cuando no está indicado clínicamente.</w:t>
      </w:r>
    </w:p>
    <w:p w14:paraId="79F3858B" w14:textId="0B057F38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E5711B2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 xml:space="preserve">• Ordena y administra </w:t>
      </w:r>
      <w:proofErr w:type="spellStart"/>
      <w:r w:rsidRPr="007A0236">
        <w:rPr>
          <w:rFonts w:ascii="Arial" w:hAnsi="Arial" w:cs="Arial"/>
          <w:b/>
          <w:bCs/>
          <w:lang w:val="es-CO"/>
        </w:rPr>
        <w:t>metilergonovina</w:t>
      </w:r>
      <w:proofErr w:type="spellEnd"/>
      <w:r w:rsidRPr="007A0236">
        <w:rPr>
          <w:rFonts w:ascii="Arial" w:hAnsi="Arial" w:cs="Arial"/>
          <w:b/>
          <w:bCs/>
          <w:lang w:val="es-CO"/>
        </w:rPr>
        <w:t xml:space="preserve"> (sujeto a disponibilidad)</w:t>
      </w:r>
    </w:p>
    <w:p w14:paraId="3D4E983B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CUMPLE:</w:t>
      </w:r>
      <w:r w:rsidRPr="00E454A8">
        <w:rPr>
          <w:rFonts w:ascii="Arial" w:hAnsi="Arial" w:cs="Arial"/>
          <w:lang w:val="es-CO"/>
        </w:rPr>
        <w:br/>
        <w:t xml:space="preserve">Cuando la institución evidencia administración de </w:t>
      </w:r>
      <w:proofErr w:type="spellStart"/>
      <w:r w:rsidRPr="00E454A8">
        <w:rPr>
          <w:rFonts w:ascii="Arial" w:hAnsi="Arial" w:cs="Arial"/>
          <w:lang w:val="es-CO"/>
        </w:rPr>
        <w:t>metilergonovina</w:t>
      </w:r>
      <w:proofErr w:type="spellEnd"/>
      <w:r w:rsidRPr="00E454A8">
        <w:rPr>
          <w:rFonts w:ascii="Arial" w:hAnsi="Arial" w:cs="Arial"/>
          <w:lang w:val="es-CO"/>
        </w:rPr>
        <w:t>.</w:t>
      </w:r>
    </w:p>
    <w:p w14:paraId="0B32DC9D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CUMPLE:</w:t>
      </w:r>
      <w:r w:rsidRPr="00E454A8">
        <w:rPr>
          <w:rFonts w:ascii="Arial" w:hAnsi="Arial" w:cs="Arial"/>
          <w:lang w:val="es-CO"/>
        </w:rPr>
        <w:br/>
        <w:t>Cuando la institución NO evidencia administración estando indicada.</w:t>
      </w:r>
    </w:p>
    <w:p w14:paraId="394629F5" w14:textId="77777777" w:rsidR="007A0236" w:rsidRPr="00E454A8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E454A8">
        <w:rPr>
          <w:rFonts w:ascii="Arial" w:hAnsi="Arial" w:cs="Arial"/>
          <w:lang w:val="es-CO"/>
        </w:rPr>
        <w:t>NO APLICA:</w:t>
      </w:r>
      <w:r w:rsidRPr="00E454A8">
        <w:rPr>
          <w:rFonts w:ascii="Arial" w:hAnsi="Arial" w:cs="Arial"/>
          <w:lang w:val="es-CO"/>
        </w:rPr>
        <w:br/>
        <w:t>Cuando no se dispone del medicamento o existe contraindicación.</w:t>
      </w:r>
    </w:p>
    <w:p w14:paraId="53C47B50" w14:textId="6CEE435C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3BB87B3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Verifica volumen urinario durante la atención de la emergencia</w:t>
      </w:r>
    </w:p>
    <w:p w14:paraId="3C51BD7D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 medición del volumen urinario.</w:t>
      </w:r>
    </w:p>
    <w:p w14:paraId="26DF279F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medición registrada.</w:t>
      </w:r>
    </w:p>
    <w:p w14:paraId="59FFD5FA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se requiere control urinario.</w:t>
      </w:r>
    </w:p>
    <w:p w14:paraId="46C0C225" w14:textId="0B9B0D39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6BE4D59D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Realiza masaje uterino externo o masaje bimanual</w:t>
      </w:r>
    </w:p>
    <w:p w14:paraId="44E3CF83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 masaje uterino externo continuo o bimanual en caso de atonía uterina.</w:t>
      </w:r>
    </w:p>
    <w:p w14:paraId="729CA895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lastRenderedPageBreak/>
        <w:t>NO CUMPLE:</w:t>
      </w:r>
      <w:r w:rsidRPr="005E0497">
        <w:rPr>
          <w:rFonts w:ascii="Arial" w:hAnsi="Arial" w:cs="Arial"/>
          <w:lang w:val="es-CO"/>
        </w:rPr>
        <w:br/>
        <w:t>Cuando la institución NO evidencia registro del procedimiento.</w:t>
      </w:r>
    </w:p>
    <w:p w14:paraId="7EFC4DB7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existe atonía uterina.</w:t>
      </w:r>
    </w:p>
    <w:p w14:paraId="303E73C5" w14:textId="5656ED4B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6EC2401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realiza revisión uterina y del canal del parto bajo anestesia</w:t>
      </w:r>
    </w:p>
    <w:p w14:paraId="0C2E3998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 revisión uterina y del canal del parto bajo anestesia.</w:t>
      </w:r>
    </w:p>
    <w:p w14:paraId="64644007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registro estando indicada.</w:t>
      </w:r>
    </w:p>
    <w:p w14:paraId="74F93524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se identifica causa anatómica del sangrado.</w:t>
      </w:r>
    </w:p>
    <w:p w14:paraId="177895CD" w14:textId="5FDA28D1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817865C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Realiza taponamiento uterino con balón hidrostático</w:t>
      </w:r>
    </w:p>
    <w:p w14:paraId="098A2355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uso de balón uterino ante hemorragia persistente posterior a manejo farmacológico.</w:t>
      </w:r>
    </w:p>
    <w:p w14:paraId="137A384B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uso del dispositivo estando indicado.</w:t>
      </w:r>
    </w:p>
    <w:p w14:paraId="52CE4281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el sangrado se controla con manejo farmacológico.</w:t>
      </w:r>
    </w:p>
    <w:p w14:paraId="4DDA1D9D" w14:textId="4F5CBA35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43AEE634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Colocación de TANN para traslado o pertinencia clínica</w:t>
      </w:r>
    </w:p>
    <w:p w14:paraId="27C22E63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colocación del traje antichoque no neumático (TANN) previo al traslado o según indicación clínica.</w:t>
      </w:r>
    </w:p>
    <w:p w14:paraId="5F7A491B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uso del TANN estando indicado.</w:t>
      </w:r>
    </w:p>
    <w:p w14:paraId="71537309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se requiere traslado.</w:t>
      </w:r>
    </w:p>
    <w:p w14:paraId="2971257E" w14:textId="7ADCD8F1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74B82B1C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reclasifica el choque según grado de respuesta</w:t>
      </w:r>
    </w:p>
    <w:p w14:paraId="585AD74B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reclasificación del choque posterior al tratamiento inicial.</w:t>
      </w:r>
    </w:p>
    <w:p w14:paraId="3002377B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reclasificación.</w:t>
      </w:r>
    </w:p>
    <w:p w14:paraId="60173E5A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No aplica no es válido.</w:t>
      </w:r>
    </w:p>
    <w:p w14:paraId="76BFE646" w14:textId="057B9229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AF1F4A1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indica transfusión según grado de choque</w:t>
      </w:r>
    </w:p>
    <w:p w14:paraId="6F429F39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indicación de transfusión acorde al grado de choque.</w:t>
      </w:r>
    </w:p>
    <w:p w14:paraId="69E34CA2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indicación estando indicada.</w:t>
      </w:r>
    </w:p>
    <w:p w14:paraId="4FFFD7AA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</w:r>
      <w:r w:rsidRPr="005E0497">
        <w:rPr>
          <w:rFonts w:ascii="Arial" w:hAnsi="Arial" w:cs="Arial"/>
          <w:lang w:val="es-CO"/>
        </w:rPr>
        <w:lastRenderedPageBreak/>
        <w:t>Cuando no se requiere transfusión.</w:t>
      </w:r>
    </w:p>
    <w:p w14:paraId="2501756B" w14:textId="70A2E511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4402497C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Cumple con tiempo de entrega del paquete globular (≤5 minutos)</w:t>
      </w:r>
    </w:p>
    <w:p w14:paraId="26C9FC0E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entrega del paquete globular en tiempo igual o menor a 5 minutos.</w:t>
      </w:r>
    </w:p>
    <w:p w14:paraId="2DD76F0B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cumple el tiempo recomendado.</w:t>
      </w:r>
    </w:p>
    <w:p w14:paraId="3CCBB730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se requiere transfusión.</w:t>
      </w:r>
    </w:p>
    <w:p w14:paraId="6E3F7D22" w14:textId="343AA38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14B0733F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Aplica antibiótico profiláctico</w:t>
      </w:r>
    </w:p>
    <w:p w14:paraId="5041EEF5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administración de antibiótico profiláctico según protocolo institucional.</w:t>
      </w:r>
    </w:p>
    <w:p w14:paraId="0C791A41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administración estando indicada.</w:t>
      </w:r>
    </w:p>
    <w:p w14:paraId="1CF0DCA6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se encuentra indicado.</w:t>
      </w:r>
    </w:p>
    <w:p w14:paraId="5F4D8626" w14:textId="48A050AD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C204256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5. SEGUIMIENTO EVENTO HEMORRAGIA POSTPARTO</w:t>
      </w:r>
    </w:p>
    <w:p w14:paraId="3C9DB19D" w14:textId="4943E67F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8B39BBF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Vigila signos vitales durante las 4 horas posteriores</w:t>
      </w:r>
    </w:p>
    <w:p w14:paraId="6D6A9B57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 signos vitales cada 15 minutos durante las primeras 2 horas y cada 30 minutos durante las siguientes 2 horas.</w:t>
      </w:r>
    </w:p>
    <w:p w14:paraId="2DD65836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registro con la periodicidad establecida.</w:t>
      </w:r>
    </w:p>
    <w:p w14:paraId="1302CFFC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No aplica no es válido.</w:t>
      </w:r>
    </w:p>
    <w:p w14:paraId="6DF1AB25" w14:textId="4CEE7452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B3F97E9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continúan uterotónicos según dosis</w:t>
      </w:r>
    </w:p>
    <w:p w14:paraId="01B3AE06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continuidad del manejo con uterotónicos según indicación clínica.</w:t>
      </w:r>
    </w:p>
    <w:p w14:paraId="6527D0B4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continuidad del tratamiento.</w:t>
      </w:r>
    </w:p>
    <w:p w14:paraId="437E6FE5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se requiere continuar uterotónicos.</w:t>
      </w:r>
    </w:p>
    <w:p w14:paraId="64978140" w14:textId="72F153FD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3466505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6. INFORMACIÓN</w:t>
      </w:r>
    </w:p>
    <w:p w14:paraId="5E9E3274" w14:textId="2F3007D3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76026A79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registra información a paciente y familiares</w:t>
      </w:r>
    </w:p>
    <w:p w14:paraId="55BB9818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 información brindada a la paciente y familiares sobre el evento clínico.</w:t>
      </w:r>
    </w:p>
    <w:p w14:paraId="18C6BF8A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</w:r>
      <w:r w:rsidRPr="005E0497">
        <w:rPr>
          <w:rFonts w:ascii="Arial" w:hAnsi="Arial" w:cs="Arial"/>
          <w:lang w:val="es-CO"/>
        </w:rPr>
        <w:lastRenderedPageBreak/>
        <w:t>Cuando la institución NO evidencia registro de información brindada.</w:t>
      </w:r>
    </w:p>
    <w:p w14:paraId="1BAEDD6A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No aplica no es válido.</w:t>
      </w:r>
    </w:p>
    <w:p w14:paraId="1E70DB8A" w14:textId="60A8E751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AA3012A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registra realización de notificación evento 549 Morbilidad Materna Extrema</w:t>
      </w:r>
    </w:p>
    <w:p w14:paraId="0A70A5C4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 notificación del evento 549 conforme a vigilancia epidemiológica.</w:t>
      </w:r>
    </w:p>
    <w:p w14:paraId="1E940D32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notificación registrada.</w:t>
      </w:r>
    </w:p>
    <w:p w14:paraId="30CB0B76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el evento no cumple criterios de notificación.</w:t>
      </w:r>
    </w:p>
    <w:p w14:paraId="78836E9A" w14:textId="4ABEFB12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53707BF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7. EGRESO</w:t>
      </w:r>
    </w:p>
    <w:p w14:paraId="0B3129B2" w14:textId="1BB2C9EB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78193613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Se garantiza estancia hospitalaria según normatividad vigente</w:t>
      </w:r>
    </w:p>
    <w:p w14:paraId="7A3C81BE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estancia hospitalaria acorde a normatividad vigente.</w:t>
      </w:r>
    </w:p>
    <w:p w14:paraId="7E4A4630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cumplimiento del tiempo mínimo requerido.</w:t>
      </w:r>
    </w:p>
    <w:p w14:paraId="02739C7F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No aplica no es válido.</w:t>
      </w:r>
    </w:p>
    <w:p w14:paraId="28476DC2" w14:textId="34F8F0D2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574A791B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Asesoría y provisión de métodos anticonceptivos</w:t>
      </w:r>
    </w:p>
    <w:p w14:paraId="5F14D22E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asesoría y provisión de método anticonceptivo según criterios médicos y voluntad de la usuaria.</w:t>
      </w:r>
    </w:p>
    <w:p w14:paraId="3CD01297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asesoría o provisión.</w:t>
      </w:r>
    </w:p>
    <w:p w14:paraId="15660991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la paciente rechaza el método y queda documentado.</w:t>
      </w:r>
    </w:p>
    <w:p w14:paraId="0689C9EF" w14:textId="4D3B87D2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6F148986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Indica referencia o traslado a mayor complejidad</w:t>
      </w:r>
    </w:p>
    <w:p w14:paraId="01ECC043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referencia o traslado oportuno según condición clínica.</w:t>
      </w:r>
    </w:p>
    <w:p w14:paraId="72987113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referencia estando indicada.</w:t>
      </w:r>
    </w:p>
    <w:p w14:paraId="5D36E295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Cuando no se requiere traslado.</w:t>
      </w:r>
    </w:p>
    <w:p w14:paraId="1D9F68A4" w14:textId="7FD673D4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77E0E62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educación en signos de alarma</w:t>
      </w:r>
    </w:p>
    <w:p w14:paraId="09FA7EED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 educación sobre signos de alarma antes del egreso.</w:t>
      </w:r>
    </w:p>
    <w:p w14:paraId="69E3FBD9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registro educativo.</w:t>
      </w:r>
    </w:p>
    <w:p w14:paraId="6A41A50C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lastRenderedPageBreak/>
        <w:t>NO APLICA:</w:t>
      </w:r>
      <w:r w:rsidRPr="005E0497">
        <w:rPr>
          <w:rFonts w:ascii="Arial" w:hAnsi="Arial" w:cs="Arial"/>
          <w:lang w:val="es-CO"/>
        </w:rPr>
        <w:br/>
        <w:t>No aplica no es válido.</w:t>
      </w:r>
    </w:p>
    <w:p w14:paraId="7365A8CE" w14:textId="61268579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1E09D2CF" w14:textId="77777777" w:rsidR="007A0236" w:rsidRPr="007A0236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7A0236">
        <w:rPr>
          <w:rFonts w:ascii="Arial" w:hAnsi="Arial" w:cs="Arial"/>
          <w:b/>
          <w:bCs/>
          <w:lang w:val="es-CO"/>
        </w:rPr>
        <w:t>• Registra agendamiento de cita posparto (3 a 5 días)</w:t>
      </w:r>
    </w:p>
    <w:p w14:paraId="79E91F4B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CUMPLE:</w:t>
      </w:r>
      <w:r w:rsidRPr="005E0497">
        <w:rPr>
          <w:rFonts w:ascii="Arial" w:hAnsi="Arial" w:cs="Arial"/>
          <w:lang w:val="es-CO"/>
        </w:rPr>
        <w:br/>
        <w:t>Cuando la institución evidencia registro del agendamiento de cita posparto entre 3 a 5 días.</w:t>
      </w:r>
    </w:p>
    <w:p w14:paraId="7F62871D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CUMPLE:</w:t>
      </w:r>
      <w:r w:rsidRPr="005E0497">
        <w:rPr>
          <w:rFonts w:ascii="Arial" w:hAnsi="Arial" w:cs="Arial"/>
          <w:lang w:val="es-CO"/>
        </w:rPr>
        <w:br/>
        <w:t>Cuando la institución NO evidencia registro del agendamiento.</w:t>
      </w:r>
    </w:p>
    <w:p w14:paraId="01E661F1" w14:textId="77777777" w:rsidR="007A0236" w:rsidRPr="005E0497" w:rsidRDefault="007A0236" w:rsidP="009A0B45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  <w:r w:rsidRPr="005E0497">
        <w:rPr>
          <w:rFonts w:ascii="Arial" w:hAnsi="Arial" w:cs="Arial"/>
          <w:lang w:val="es-CO"/>
        </w:rPr>
        <w:t>NO APLICA:</w:t>
      </w:r>
      <w:r w:rsidRPr="005E0497">
        <w:rPr>
          <w:rFonts w:ascii="Arial" w:hAnsi="Arial" w:cs="Arial"/>
          <w:lang w:val="es-CO"/>
        </w:rPr>
        <w:br/>
        <w:t>No aplica no es válido.</w:t>
      </w:r>
    </w:p>
    <w:p w14:paraId="11838A73" w14:textId="77777777" w:rsidR="009217AE" w:rsidRPr="00267071" w:rsidRDefault="009217AE" w:rsidP="00C31439">
      <w:pPr>
        <w:pStyle w:val="Textoindependiente"/>
        <w:spacing w:line="235" w:lineRule="auto"/>
        <w:ind w:left="-820" w:right="103"/>
        <w:rPr>
          <w:rFonts w:ascii="Arial" w:hAnsi="Arial" w:cs="Arial"/>
          <w:b/>
          <w:bCs/>
        </w:rPr>
      </w:pPr>
    </w:p>
    <w:sectPr w:rsidR="009217AE" w:rsidRPr="002670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D0399" w14:textId="77777777" w:rsidR="00C92262" w:rsidRDefault="00C92262" w:rsidP="00E73BA8">
      <w:pPr>
        <w:spacing w:after="0" w:line="240" w:lineRule="auto"/>
      </w:pPr>
      <w:r>
        <w:separator/>
      </w:r>
    </w:p>
  </w:endnote>
  <w:endnote w:type="continuationSeparator" w:id="0">
    <w:p w14:paraId="262F1D14" w14:textId="77777777" w:rsidR="00C92262" w:rsidRDefault="00C92262" w:rsidP="00E7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D96E9" w14:textId="77777777" w:rsidR="00C92262" w:rsidRDefault="00C92262" w:rsidP="00E73BA8">
      <w:pPr>
        <w:spacing w:after="0" w:line="240" w:lineRule="auto"/>
      </w:pPr>
      <w:r>
        <w:separator/>
      </w:r>
    </w:p>
  </w:footnote>
  <w:footnote w:type="continuationSeparator" w:id="0">
    <w:p w14:paraId="6A014F21" w14:textId="77777777" w:rsidR="00C92262" w:rsidRDefault="00C92262" w:rsidP="00E73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318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986"/>
      <w:gridCol w:w="3101"/>
      <w:gridCol w:w="2431"/>
      <w:gridCol w:w="1275"/>
      <w:gridCol w:w="525"/>
    </w:tblGrid>
    <w:tr w:rsidR="00E73BA8" w14:paraId="63584C43" w14:textId="77777777" w:rsidTr="00E73BA8">
      <w:trPr>
        <w:trHeight w:val="1161"/>
      </w:trPr>
      <w:tc>
        <w:tcPr>
          <w:tcW w:w="1986" w:type="dxa"/>
          <w:vMerge w:val="restart"/>
        </w:tcPr>
        <w:p w14:paraId="007DE17C" w14:textId="77777777" w:rsidR="00E73BA8" w:rsidRDefault="00E73BA8" w:rsidP="005325DC">
          <w:pPr>
            <w:pStyle w:val="TableParagraph"/>
            <w:rPr>
              <w:noProof/>
            </w:rPr>
          </w:pPr>
        </w:p>
        <w:p w14:paraId="7129B337" w14:textId="113D8757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C468DFA" wp14:editId="72ED4B19">
                <wp:extent cx="1003300" cy="817242"/>
                <wp:effectExtent l="0" t="0" r="6350" b="2540"/>
                <wp:docPr id="6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6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1">
                          <a:extLst>
                            <a:ext uri="{FF2B5EF4-FFF2-40B4-BE49-F238E27FC236}">
                              <a16:creationId xmlns:a16="http://schemas.microsoft.com/office/drawing/2014/main" id="{00000000-0008-0000-0100-000006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7654" cy="8207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2" w:type="dxa"/>
          <w:gridSpan w:val="2"/>
        </w:tcPr>
        <w:p w14:paraId="1BA69631" w14:textId="77777777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</w:p>
        <w:p w14:paraId="57A557BD" w14:textId="058D5FF3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  <w:r>
            <w:rPr>
              <w:sz w:val="18"/>
            </w:rPr>
            <w:t>PROVISIÓN DE SERVICIOS DE SALUD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DIRECCIÓN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PROVISIÓN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2"/>
              <w:sz w:val="18"/>
            </w:rPr>
            <w:t xml:space="preserve"> </w:t>
          </w:r>
          <w:r>
            <w:rPr>
              <w:sz w:val="18"/>
            </w:rPr>
            <w:t>SERVICIOS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SALUD SISTEMA DE GESTIÓN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CONTROL</w:t>
          </w:r>
          <w:r>
            <w:rPr>
              <w:spacing w:val="-13"/>
              <w:sz w:val="18"/>
            </w:rPr>
            <w:t xml:space="preserve"> </w:t>
          </w:r>
          <w:r>
            <w:rPr>
              <w:sz w:val="18"/>
            </w:rPr>
            <w:t>DOCUMENTAL</w:t>
          </w:r>
        </w:p>
      </w:tc>
      <w:tc>
        <w:tcPr>
          <w:tcW w:w="1800" w:type="dxa"/>
          <w:gridSpan w:val="2"/>
          <w:vMerge w:val="restart"/>
        </w:tcPr>
        <w:p w14:paraId="6F774B7B" w14:textId="77777777" w:rsidR="00E73BA8" w:rsidRDefault="00E73BA8" w:rsidP="00E73BA8">
          <w:pPr>
            <w:pStyle w:val="TableParagraph"/>
            <w:jc w:val="center"/>
            <w:rPr>
              <w:noProof/>
            </w:rPr>
          </w:pPr>
        </w:p>
        <w:p w14:paraId="1026006A" w14:textId="1CEA9C34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107B12B" wp14:editId="0E796BAE">
                <wp:extent cx="886209" cy="749300"/>
                <wp:effectExtent l="0" t="0" r="9525" b="0"/>
                <wp:docPr id="5" name="Imagen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10">
                          <a:extLst>
                            <a:ext uri="{FF2B5EF4-FFF2-40B4-BE49-F238E27FC236}">
                              <a16:creationId xmlns:a16="http://schemas.microsoft.com/office/drawing/2014/main" id="{00000000-0008-0000-01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11" cy="7526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D23D967" w14:textId="3D2CF6E0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</w:p>
      </w:tc>
    </w:tr>
    <w:tr w:rsidR="00E73BA8" w14:paraId="0AE9C02F" w14:textId="77777777" w:rsidTr="00E73BA8">
      <w:tblPrEx>
        <w:tblCellMar>
          <w:left w:w="0" w:type="dxa"/>
          <w:right w:w="0" w:type="dxa"/>
        </w:tblCellMar>
      </w:tblPrEx>
      <w:trPr>
        <w:trHeight w:val="711"/>
      </w:trPr>
      <w:tc>
        <w:tcPr>
          <w:tcW w:w="1986" w:type="dxa"/>
          <w:vMerge/>
          <w:tcBorders>
            <w:top w:val="nil"/>
          </w:tcBorders>
        </w:tcPr>
        <w:p w14:paraId="4D728C51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5532" w:type="dxa"/>
          <w:gridSpan w:val="2"/>
        </w:tcPr>
        <w:p w14:paraId="7E3E2946" w14:textId="6F128661" w:rsidR="00E73BA8" w:rsidRDefault="00950FB6" w:rsidP="00336375">
          <w:pPr>
            <w:pStyle w:val="TableParagraph"/>
            <w:spacing w:line="268" w:lineRule="auto"/>
            <w:ind w:left="120" w:right="108" w:hanging="2"/>
            <w:jc w:val="center"/>
            <w:rPr>
              <w:sz w:val="18"/>
            </w:rPr>
          </w:pPr>
          <w:r w:rsidRPr="00950FB6">
            <w:rPr>
              <w:sz w:val="18"/>
            </w:rPr>
            <w:t>INSTRUMENTO DE ADHERENCIA A LA GUÍA DE PRÁCTICA CLÍNICA (GPC) COMPLICACIONES DEL EMBARAZO, PARTO O PUERPERIO EN EL MANEJO CLÍNICO DE LA MUJER CON HEMORRAGIA POSPARTO</w:t>
          </w:r>
        </w:p>
      </w:tc>
      <w:tc>
        <w:tcPr>
          <w:tcW w:w="1800" w:type="dxa"/>
          <w:gridSpan w:val="2"/>
          <w:vMerge/>
          <w:tcBorders>
            <w:top w:val="nil"/>
          </w:tcBorders>
        </w:tcPr>
        <w:p w14:paraId="31C26D59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</w:tr>
    <w:tr w:rsidR="00E73BA8" w14:paraId="123D5B03" w14:textId="77777777" w:rsidTr="00E73BA8">
      <w:tblPrEx>
        <w:tblCellMar>
          <w:left w:w="0" w:type="dxa"/>
          <w:right w:w="0" w:type="dxa"/>
        </w:tblCellMar>
      </w:tblPrEx>
      <w:trPr>
        <w:trHeight w:val="300"/>
      </w:trPr>
      <w:tc>
        <w:tcPr>
          <w:tcW w:w="1986" w:type="dxa"/>
          <w:vMerge/>
          <w:tcBorders>
            <w:top w:val="nil"/>
          </w:tcBorders>
        </w:tcPr>
        <w:p w14:paraId="447E7E2D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3101" w:type="dxa"/>
        </w:tcPr>
        <w:p w14:paraId="43BB598B" w14:textId="77777777" w:rsidR="00E73BA8" w:rsidRDefault="00E73BA8" w:rsidP="00E73BA8">
          <w:pPr>
            <w:pStyle w:val="TableParagraph"/>
            <w:spacing w:line="203" w:lineRule="exact"/>
            <w:ind w:left="1220" w:right="1210"/>
            <w:jc w:val="center"/>
            <w:rPr>
              <w:sz w:val="18"/>
            </w:rPr>
          </w:pPr>
          <w:r>
            <w:rPr>
              <w:sz w:val="18"/>
            </w:rPr>
            <w:t>Código:</w:t>
          </w:r>
        </w:p>
      </w:tc>
      <w:tc>
        <w:tcPr>
          <w:tcW w:w="2431" w:type="dxa"/>
        </w:tcPr>
        <w:p w14:paraId="0566F122" w14:textId="2D6E2B1C" w:rsidR="00E73BA8" w:rsidRDefault="00FF3DFD" w:rsidP="00E73BA8">
          <w:pPr>
            <w:pStyle w:val="TableParagraph"/>
            <w:spacing w:line="203" w:lineRule="exact"/>
            <w:ind w:left="500"/>
            <w:rPr>
              <w:sz w:val="18"/>
            </w:rPr>
          </w:pPr>
          <w:r w:rsidRPr="00FF3DFD">
            <w:rPr>
              <w:sz w:val="18"/>
            </w:rPr>
            <w:t>SDS-PSS-FT-579 V. ACTUALIZADO</w:t>
          </w:r>
        </w:p>
      </w:tc>
      <w:tc>
        <w:tcPr>
          <w:tcW w:w="1275" w:type="dxa"/>
        </w:tcPr>
        <w:p w14:paraId="593D4B57" w14:textId="77777777" w:rsidR="00E73BA8" w:rsidRDefault="00E73BA8" w:rsidP="00E73BA8">
          <w:pPr>
            <w:pStyle w:val="TableParagraph"/>
            <w:spacing w:line="203" w:lineRule="exact"/>
            <w:ind w:left="309"/>
            <w:rPr>
              <w:sz w:val="18"/>
            </w:rPr>
          </w:pPr>
          <w:r>
            <w:rPr>
              <w:sz w:val="18"/>
            </w:rPr>
            <w:t>Versión:</w:t>
          </w:r>
        </w:p>
      </w:tc>
      <w:tc>
        <w:tcPr>
          <w:tcW w:w="525" w:type="dxa"/>
        </w:tcPr>
        <w:p w14:paraId="1F8025F8" w14:textId="00FC5637" w:rsidR="00E73BA8" w:rsidRDefault="005325DC" w:rsidP="00E73BA8">
          <w:pPr>
            <w:pStyle w:val="TableParagraph"/>
            <w:spacing w:line="203" w:lineRule="exact"/>
            <w:ind w:left="16"/>
            <w:jc w:val="center"/>
            <w:rPr>
              <w:sz w:val="18"/>
            </w:rPr>
          </w:pPr>
          <w:r>
            <w:rPr>
              <w:w w:val="99"/>
              <w:sz w:val="18"/>
            </w:rPr>
            <w:t>2</w:t>
          </w:r>
        </w:p>
      </w:tc>
    </w:tr>
    <w:tr w:rsidR="00E73BA8" w14:paraId="5493D61C" w14:textId="77777777" w:rsidTr="00E73BA8">
      <w:tblPrEx>
        <w:tblCellMar>
          <w:left w:w="0" w:type="dxa"/>
          <w:right w:w="0" w:type="dxa"/>
        </w:tblCellMar>
      </w:tblPrEx>
      <w:trPr>
        <w:trHeight w:val="415"/>
      </w:trPr>
      <w:tc>
        <w:tcPr>
          <w:tcW w:w="9318" w:type="dxa"/>
          <w:gridSpan w:val="5"/>
        </w:tcPr>
        <w:p w14:paraId="21B2ABD5" w14:textId="77777777" w:rsidR="00DD141B" w:rsidRPr="00DD141B" w:rsidRDefault="00E73BA8" w:rsidP="00DD141B">
          <w:pPr>
            <w:pStyle w:val="TableParagraph"/>
            <w:spacing w:line="180" w:lineRule="exact"/>
            <w:ind w:left="110"/>
            <w:rPr>
              <w:sz w:val="16"/>
            </w:rPr>
          </w:pPr>
          <w:r>
            <w:rPr>
              <w:sz w:val="16"/>
            </w:rPr>
            <w:t>Elaborado</w:t>
          </w:r>
          <w:r>
            <w:rPr>
              <w:spacing w:val="-8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8"/>
              <w:sz w:val="16"/>
            </w:rPr>
            <w:t xml:space="preserve"> </w:t>
          </w:r>
          <w:r w:rsidR="00DD141B" w:rsidRPr="00DD141B">
            <w:rPr>
              <w:sz w:val="16"/>
            </w:rPr>
            <w:t>Elaborado por: Andrea Villamizar, Diego Becerra, Alvinzy Velásquez, Nydia Suárez, Marlene Soto, Dayan Mateus, Claudia Sarmiento</w:t>
          </w:r>
        </w:p>
        <w:p w14:paraId="5E76C472" w14:textId="77777777" w:rsidR="00DD141B" w:rsidRPr="00DD141B" w:rsidRDefault="00DD141B" w:rsidP="00DD141B">
          <w:pPr>
            <w:pStyle w:val="TableParagraph"/>
            <w:spacing w:line="180" w:lineRule="exact"/>
            <w:ind w:left="110"/>
            <w:rPr>
              <w:sz w:val="16"/>
            </w:rPr>
          </w:pPr>
          <w:r w:rsidRPr="00DD141B">
            <w:rPr>
              <w:sz w:val="16"/>
            </w:rPr>
            <w:t>Revisado por: Beatriz Helena Guerrero, Diana Milena Mendivelso Diaz, Tamara Vanin Nieto</w:t>
          </w:r>
        </w:p>
        <w:p w14:paraId="658FB15B" w14:textId="0D5B40DA" w:rsidR="00E73BA8" w:rsidRDefault="00DD141B" w:rsidP="00DD141B">
          <w:pPr>
            <w:pStyle w:val="TableParagraph"/>
            <w:spacing w:before="21"/>
            <w:ind w:left="110"/>
            <w:rPr>
              <w:sz w:val="16"/>
            </w:rPr>
          </w:pPr>
          <w:r w:rsidRPr="00DD141B">
            <w:rPr>
              <w:sz w:val="16"/>
            </w:rPr>
            <w:t>Aprobado por: Martha Yolanda Ruíz Valdés</w:t>
          </w:r>
        </w:p>
      </w:tc>
    </w:tr>
  </w:tbl>
  <w:p w14:paraId="14B2723B" w14:textId="77777777" w:rsidR="00E73BA8" w:rsidRDefault="00E73B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4B9A"/>
    <w:multiLevelType w:val="hybridMultilevel"/>
    <w:tmpl w:val="92125B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2279D"/>
    <w:multiLevelType w:val="hybridMultilevel"/>
    <w:tmpl w:val="20EA07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44D7A"/>
    <w:multiLevelType w:val="hybridMultilevel"/>
    <w:tmpl w:val="7FE878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E2A14"/>
    <w:multiLevelType w:val="multilevel"/>
    <w:tmpl w:val="1504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670D43"/>
    <w:multiLevelType w:val="multilevel"/>
    <w:tmpl w:val="0B727C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7556A0"/>
    <w:multiLevelType w:val="multilevel"/>
    <w:tmpl w:val="0BD68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C167FF"/>
    <w:multiLevelType w:val="multilevel"/>
    <w:tmpl w:val="CAE65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8C0C0A"/>
    <w:multiLevelType w:val="multilevel"/>
    <w:tmpl w:val="F9B40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3503847">
    <w:abstractNumId w:val="1"/>
  </w:num>
  <w:num w:numId="2" w16cid:durableId="352922014">
    <w:abstractNumId w:val="2"/>
  </w:num>
  <w:num w:numId="3" w16cid:durableId="1725567215">
    <w:abstractNumId w:val="5"/>
  </w:num>
  <w:num w:numId="4" w16cid:durableId="732896438">
    <w:abstractNumId w:val="3"/>
  </w:num>
  <w:num w:numId="5" w16cid:durableId="709383821">
    <w:abstractNumId w:val="4"/>
  </w:num>
  <w:num w:numId="6" w16cid:durableId="2085296004">
    <w:abstractNumId w:val="0"/>
  </w:num>
  <w:num w:numId="7" w16cid:durableId="17968347">
    <w:abstractNumId w:val="7"/>
  </w:num>
  <w:num w:numId="8" w16cid:durableId="306861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BA8"/>
    <w:rsid w:val="000411F4"/>
    <w:rsid w:val="00071516"/>
    <w:rsid w:val="000B5576"/>
    <w:rsid w:val="001011D8"/>
    <w:rsid w:val="00111A62"/>
    <w:rsid w:val="00166B28"/>
    <w:rsid w:val="00170782"/>
    <w:rsid w:val="001876D7"/>
    <w:rsid w:val="001F3850"/>
    <w:rsid w:val="00210966"/>
    <w:rsid w:val="00216F30"/>
    <w:rsid w:val="00254B2E"/>
    <w:rsid w:val="00267071"/>
    <w:rsid w:val="00336375"/>
    <w:rsid w:val="003A65E2"/>
    <w:rsid w:val="003F138F"/>
    <w:rsid w:val="00465E1F"/>
    <w:rsid w:val="004F41B4"/>
    <w:rsid w:val="005325DC"/>
    <w:rsid w:val="00546E9A"/>
    <w:rsid w:val="00587EFF"/>
    <w:rsid w:val="005A0784"/>
    <w:rsid w:val="005A5F5D"/>
    <w:rsid w:val="005E0497"/>
    <w:rsid w:val="005E6C01"/>
    <w:rsid w:val="005F24CC"/>
    <w:rsid w:val="005F4F80"/>
    <w:rsid w:val="00605D0A"/>
    <w:rsid w:val="00641F72"/>
    <w:rsid w:val="006A61BB"/>
    <w:rsid w:val="00703A0C"/>
    <w:rsid w:val="00720017"/>
    <w:rsid w:val="007527E8"/>
    <w:rsid w:val="00795CC9"/>
    <w:rsid w:val="007A0236"/>
    <w:rsid w:val="007F5E80"/>
    <w:rsid w:val="00803D83"/>
    <w:rsid w:val="00816EF6"/>
    <w:rsid w:val="008644C4"/>
    <w:rsid w:val="00881913"/>
    <w:rsid w:val="00883D11"/>
    <w:rsid w:val="008B7D7F"/>
    <w:rsid w:val="008D7865"/>
    <w:rsid w:val="008E06FF"/>
    <w:rsid w:val="00906727"/>
    <w:rsid w:val="009119A6"/>
    <w:rsid w:val="009217AE"/>
    <w:rsid w:val="00950FB6"/>
    <w:rsid w:val="00973539"/>
    <w:rsid w:val="009A0B45"/>
    <w:rsid w:val="009A4285"/>
    <w:rsid w:val="00A072FC"/>
    <w:rsid w:val="00A10621"/>
    <w:rsid w:val="00A15D9E"/>
    <w:rsid w:val="00A25969"/>
    <w:rsid w:val="00A30E2C"/>
    <w:rsid w:val="00A86CE7"/>
    <w:rsid w:val="00A8771B"/>
    <w:rsid w:val="00AF0DC6"/>
    <w:rsid w:val="00B93D9A"/>
    <w:rsid w:val="00BA58D2"/>
    <w:rsid w:val="00BE47ED"/>
    <w:rsid w:val="00C20DD4"/>
    <w:rsid w:val="00C31439"/>
    <w:rsid w:val="00C574B8"/>
    <w:rsid w:val="00C71323"/>
    <w:rsid w:val="00C92262"/>
    <w:rsid w:val="00CA22C4"/>
    <w:rsid w:val="00D62DEC"/>
    <w:rsid w:val="00DD141B"/>
    <w:rsid w:val="00E338CF"/>
    <w:rsid w:val="00E33F5E"/>
    <w:rsid w:val="00E454A8"/>
    <w:rsid w:val="00E5791F"/>
    <w:rsid w:val="00E60EE4"/>
    <w:rsid w:val="00E73BA8"/>
    <w:rsid w:val="00EB778D"/>
    <w:rsid w:val="00FB3112"/>
    <w:rsid w:val="00FC5FE6"/>
    <w:rsid w:val="00FD433D"/>
    <w:rsid w:val="00FF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82BA"/>
  <w15:chartTrackingRefBased/>
  <w15:docId w15:val="{7368FA60-B78F-4869-8702-D44E7E88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82"/>
  </w:style>
  <w:style w:type="paragraph" w:styleId="Ttulo1">
    <w:name w:val="heading 1"/>
    <w:basedOn w:val="Normal"/>
    <w:next w:val="Normal"/>
    <w:link w:val="Ttulo1Car"/>
    <w:uiPriority w:val="9"/>
    <w:qFormat/>
    <w:rsid w:val="00E73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3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3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3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3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3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3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3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3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3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3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3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3B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3B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3B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3B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3B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3B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3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3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3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3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3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3B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3B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3B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3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3B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3BA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3BA8"/>
  </w:style>
  <w:style w:type="paragraph" w:styleId="Piedepgina">
    <w:name w:val="footer"/>
    <w:basedOn w:val="Normal"/>
    <w:link w:val="Piedepgina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BA8"/>
  </w:style>
  <w:style w:type="table" w:customStyle="1" w:styleId="TableNormal">
    <w:name w:val="Table Normal"/>
    <w:uiPriority w:val="2"/>
    <w:semiHidden/>
    <w:unhideWhenUsed/>
    <w:qFormat/>
    <w:rsid w:val="00E73BA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73BA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73BA8"/>
    <w:pPr>
      <w:widowControl w:val="0"/>
      <w:autoSpaceDE w:val="0"/>
      <w:autoSpaceDN w:val="0"/>
      <w:spacing w:after="0" w:line="240" w:lineRule="auto"/>
      <w:ind w:left="820"/>
    </w:pPr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3BA8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2270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Yessica, Castrillon Garcia</dc:creator>
  <cp:keywords/>
  <dc:description/>
  <cp:lastModifiedBy>Diana Carolina, Martinez Campos</cp:lastModifiedBy>
  <cp:revision>2</cp:revision>
  <dcterms:created xsi:type="dcterms:W3CDTF">2026-04-27T00:31:00Z</dcterms:created>
  <dcterms:modified xsi:type="dcterms:W3CDTF">2026-04-27T00:31:00Z</dcterms:modified>
</cp:coreProperties>
</file>